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AE" w:rsidRPr="00693929" w:rsidRDefault="00E700AE" w:rsidP="00E700AE">
      <w:pPr>
        <w:rPr>
          <w:rFonts w:ascii="ITC Stone Sans" w:hAnsi="ITC Stone Sans"/>
          <w:sz w:val="20"/>
        </w:rPr>
      </w:pPr>
    </w:p>
    <w:p w:rsidR="00595122" w:rsidRPr="00693929" w:rsidRDefault="00595122" w:rsidP="00595122">
      <w:pPr>
        <w:ind w:left="720"/>
        <w:rPr>
          <w:rFonts w:ascii="ITC Stone Sans" w:hAnsi="ITC Stone Sans"/>
          <w:sz w:val="20"/>
        </w:rPr>
      </w:pPr>
      <w:r w:rsidRPr="00693929">
        <w:rPr>
          <w:rFonts w:ascii="ITC Stone Sans" w:hAnsi="ITC Stone Sans"/>
          <w:sz w:val="20"/>
        </w:rPr>
        <w:t>Prior to implementing the formal appeal process, the student must discuss in person the disputed grade with the instructor of the course within ten days of notification of the grade</w:t>
      </w:r>
      <w:r>
        <w:rPr>
          <w:rFonts w:ascii="ITC Stone Sans" w:hAnsi="ITC Stone Sans"/>
          <w:sz w:val="20"/>
        </w:rPr>
        <w:t xml:space="preserve"> (final grade posted in </w:t>
      </w:r>
      <w:proofErr w:type="spellStart"/>
      <w:r>
        <w:rPr>
          <w:rFonts w:ascii="ITC Stone Sans" w:hAnsi="ITC Stone Sans"/>
          <w:sz w:val="20"/>
        </w:rPr>
        <w:t>Academica</w:t>
      </w:r>
      <w:proofErr w:type="spellEnd"/>
      <w:r>
        <w:rPr>
          <w:rFonts w:ascii="ITC Stone Sans" w:hAnsi="ITC Stone Sans"/>
          <w:sz w:val="20"/>
        </w:rPr>
        <w:t>)</w:t>
      </w:r>
      <w:r w:rsidRPr="00693929">
        <w:rPr>
          <w:rFonts w:ascii="ITC Stone Sans" w:hAnsi="ITC Stone Sans"/>
          <w:sz w:val="20"/>
        </w:rPr>
        <w:t xml:space="preserve">. The faculty member will respond in writing with a copy to the student and the </w:t>
      </w:r>
      <w:r>
        <w:rPr>
          <w:rFonts w:ascii="ITC Stone Sans" w:hAnsi="ITC Stone Sans"/>
          <w:sz w:val="20"/>
        </w:rPr>
        <w:t xml:space="preserve">Associate Dean of Academic &amp; Clinical Affairs and the </w:t>
      </w:r>
      <w:r w:rsidRPr="00693929">
        <w:rPr>
          <w:rFonts w:ascii="ITC Stone Sans" w:hAnsi="ITC Stone Sans"/>
          <w:sz w:val="20"/>
        </w:rPr>
        <w:t>Assistant Dean, Enrollment and Student Services.  If the dispute remains unresolved, the student may then initiate a formal appeal.</w:t>
      </w:r>
    </w:p>
    <w:p w:rsidR="00595122" w:rsidRPr="00693929" w:rsidRDefault="00595122" w:rsidP="00595122">
      <w:pPr>
        <w:ind w:left="720"/>
        <w:rPr>
          <w:rFonts w:ascii="ITC Stone Sans" w:hAnsi="ITC Stone Sans"/>
          <w:sz w:val="20"/>
        </w:rPr>
      </w:pPr>
      <w:r w:rsidRPr="00693929">
        <w:rPr>
          <w:rFonts w:ascii="ITC Stone Sans" w:hAnsi="ITC Stone Sans"/>
          <w:sz w:val="20"/>
        </w:rPr>
        <w:br/>
        <w:t xml:space="preserve">All steps of the appeal process must be followed within the stated time frame or the appeal process is nullified (will not be heard).   </w:t>
      </w:r>
    </w:p>
    <w:p w:rsidR="00595122" w:rsidRPr="00693929" w:rsidRDefault="00595122" w:rsidP="00595122">
      <w:pPr>
        <w:rPr>
          <w:rFonts w:ascii="ITC Stone Sans" w:hAnsi="ITC Stone Sans"/>
          <w:sz w:val="20"/>
        </w:rPr>
      </w:pPr>
    </w:p>
    <w:p w:rsidR="00595122" w:rsidRPr="00693929" w:rsidRDefault="00595122" w:rsidP="00595122">
      <w:pPr>
        <w:rPr>
          <w:rFonts w:ascii="ITC Stone Sans Semibold" w:hAnsi="ITC Stone Sans Semibold"/>
          <w:sz w:val="20"/>
        </w:rPr>
      </w:pPr>
      <w:r w:rsidRPr="00693929">
        <w:rPr>
          <w:rFonts w:ascii="ITC Stone Sans Semibold" w:hAnsi="ITC Stone Sans Semibold"/>
          <w:sz w:val="20"/>
        </w:rPr>
        <w:t>Steps to Initiate a Formal Appeal</w:t>
      </w:r>
    </w:p>
    <w:p w:rsidR="00595122" w:rsidRPr="00693929" w:rsidRDefault="00595122" w:rsidP="00595122">
      <w:pPr>
        <w:rPr>
          <w:rFonts w:ascii="ITC Stone Sans" w:hAnsi="ITC Stone Sans"/>
          <w:sz w:val="20"/>
        </w:rPr>
      </w:pPr>
    </w:p>
    <w:p w:rsidR="00595122" w:rsidRPr="00693929" w:rsidRDefault="00595122" w:rsidP="00595122">
      <w:pPr>
        <w:pStyle w:val="ListParagraph"/>
        <w:numPr>
          <w:ilvl w:val="0"/>
          <w:numId w:val="1"/>
        </w:numPr>
        <w:ind w:hanging="360"/>
        <w:rPr>
          <w:rFonts w:ascii="ITC Stone Sans" w:hAnsi="ITC Stone Sans"/>
          <w:sz w:val="20"/>
        </w:rPr>
      </w:pPr>
      <w:r w:rsidRPr="00693929">
        <w:rPr>
          <w:rFonts w:ascii="ITC Stone Sans" w:hAnsi="ITC Stone Sans"/>
          <w:sz w:val="20"/>
        </w:rPr>
        <w:t xml:space="preserve">The student must submit a written statement detailing his or her objections to the faculty response, along with supporting documentation, to the </w:t>
      </w:r>
      <w:r>
        <w:rPr>
          <w:rFonts w:ascii="ITC Stone Sans" w:hAnsi="ITC Stone Sans"/>
          <w:sz w:val="20"/>
          <w:szCs w:val="20"/>
        </w:rPr>
        <w:t>Associate Dean of Academic &amp; Clinical Affairs</w:t>
      </w:r>
      <w:r w:rsidRPr="00693929">
        <w:rPr>
          <w:rFonts w:ascii="ITC Stone Sans" w:hAnsi="ITC Stone Sans"/>
          <w:sz w:val="20"/>
        </w:rPr>
        <w:t xml:space="preserve"> with copy to the Assistant Dean for Enrollment and Student Services. This statement must be submitted within </w:t>
      </w:r>
      <w:r>
        <w:rPr>
          <w:rFonts w:ascii="ITC Stone Sans" w:hAnsi="ITC Stone Sans"/>
          <w:sz w:val="20"/>
        </w:rPr>
        <w:t>30</w:t>
      </w:r>
      <w:r w:rsidRPr="00693929">
        <w:rPr>
          <w:rFonts w:ascii="ITC Stone Sans" w:hAnsi="ITC Stone Sans"/>
          <w:sz w:val="20"/>
        </w:rPr>
        <w:t xml:space="preserve"> days following the response of the faculty member who assigned the grade. </w:t>
      </w:r>
    </w:p>
    <w:p w:rsidR="00595122" w:rsidRPr="00693929" w:rsidRDefault="00595122" w:rsidP="00595122">
      <w:pPr>
        <w:pStyle w:val="ListParagraph"/>
        <w:ind w:left="1080"/>
        <w:rPr>
          <w:rFonts w:ascii="ITC Stone Sans" w:hAnsi="ITC Stone Sans"/>
          <w:sz w:val="20"/>
        </w:rPr>
      </w:pPr>
    </w:p>
    <w:p w:rsidR="00595122" w:rsidRDefault="00595122" w:rsidP="0086638D">
      <w:pPr>
        <w:pStyle w:val="ListParagraph"/>
        <w:numPr>
          <w:ilvl w:val="0"/>
          <w:numId w:val="1"/>
        </w:numPr>
        <w:ind w:hanging="360"/>
        <w:rPr>
          <w:rFonts w:ascii="ITC Stone Sans" w:hAnsi="ITC Stone Sans"/>
          <w:sz w:val="20"/>
          <w:szCs w:val="20"/>
        </w:rPr>
      </w:pPr>
      <w:r w:rsidRPr="00595122">
        <w:rPr>
          <w:rFonts w:ascii="ITC Stone Sans" w:hAnsi="ITC Stone Sans"/>
          <w:sz w:val="20"/>
        </w:rPr>
        <w:t xml:space="preserve">Upon review of the documentation, the Associate Dean of Academic &amp; Clinical Affairs </w:t>
      </w:r>
      <w:r>
        <w:rPr>
          <w:rFonts w:ascii="ITC Stone Sans" w:hAnsi="ITC Stone Sans"/>
          <w:sz w:val="20"/>
          <w:szCs w:val="20"/>
        </w:rPr>
        <w:t>will notify the student in writing w</w:t>
      </w:r>
      <w:r w:rsidRPr="00693929">
        <w:rPr>
          <w:rFonts w:ascii="ITC Stone Sans" w:hAnsi="ITC Stone Sans"/>
          <w:sz w:val="20"/>
          <w:szCs w:val="20"/>
        </w:rPr>
        <w:t>i</w:t>
      </w:r>
      <w:r>
        <w:rPr>
          <w:rFonts w:ascii="ITC Stone Sans" w:hAnsi="ITC Stone Sans"/>
          <w:sz w:val="20"/>
          <w:szCs w:val="20"/>
        </w:rPr>
        <w:t>thin</w:t>
      </w:r>
      <w:r w:rsidRPr="00693929">
        <w:rPr>
          <w:rFonts w:ascii="ITC Stone Sans" w:hAnsi="ITC Stone Sans"/>
          <w:sz w:val="20"/>
          <w:szCs w:val="20"/>
        </w:rPr>
        <w:t xml:space="preserve"> 21 days of receiving the student’s written appeal</w:t>
      </w:r>
      <w:r w:rsidR="00B65E74">
        <w:rPr>
          <w:rFonts w:ascii="ITC Stone Sans" w:hAnsi="ITC Stone Sans"/>
          <w:sz w:val="20"/>
          <w:szCs w:val="20"/>
        </w:rPr>
        <w:t xml:space="preserve"> of the decision</w:t>
      </w:r>
      <w:r w:rsidRPr="00693929">
        <w:rPr>
          <w:rFonts w:ascii="ITC Stone Sans" w:hAnsi="ITC Stone Sans"/>
          <w:sz w:val="20"/>
          <w:szCs w:val="20"/>
        </w:rPr>
        <w:t xml:space="preserve">. As the Dean’s designee, the decision of the </w:t>
      </w:r>
      <w:r>
        <w:rPr>
          <w:rFonts w:ascii="ITC Stone Sans" w:hAnsi="ITC Stone Sans"/>
          <w:sz w:val="20"/>
          <w:szCs w:val="20"/>
        </w:rPr>
        <w:t>Associate Dean of Academic &amp; Clinical Affairs</w:t>
      </w:r>
      <w:r w:rsidRPr="00693929">
        <w:rPr>
          <w:rFonts w:ascii="ITC Stone Sans" w:hAnsi="ITC Stone Sans"/>
          <w:sz w:val="20"/>
          <w:szCs w:val="20"/>
        </w:rPr>
        <w:t xml:space="preserve"> shall be the final decision at the College level.</w:t>
      </w:r>
    </w:p>
    <w:p w:rsidR="00595122" w:rsidRPr="002F1555" w:rsidRDefault="00595122" w:rsidP="00595122">
      <w:pPr>
        <w:pStyle w:val="ListParagraph"/>
        <w:rPr>
          <w:rFonts w:ascii="ITC Stone Sans" w:hAnsi="ITC Stone Sans"/>
          <w:sz w:val="20"/>
          <w:szCs w:val="20"/>
        </w:rPr>
      </w:pPr>
    </w:p>
    <w:p w:rsidR="00595122" w:rsidRPr="00693929" w:rsidRDefault="00595122" w:rsidP="00595122">
      <w:pPr>
        <w:pStyle w:val="ListParagraph"/>
        <w:numPr>
          <w:ilvl w:val="0"/>
          <w:numId w:val="1"/>
        </w:numPr>
        <w:ind w:hanging="360"/>
        <w:rPr>
          <w:rFonts w:ascii="ITC Stone Sans" w:hAnsi="ITC Stone Sans"/>
          <w:sz w:val="20"/>
          <w:szCs w:val="20"/>
        </w:rPr>
      </w:pPr>
      <w:r>
        <w:rPr>
          <w:rFonts w:ascii="ITC Stone Sans" w:hAnsi="ITC Stone Sans"/>
          <w:sz w:val="20"/>
          <w:szCs w:val="20"/>
        </w:rPr>
        <w:t xml:space="preserve">Provost Review. If after your School/College appeal path is exhausted and you wish to continue with the grade appeal process, per the University Academic policy, you may request a Provost Review within 30 days of this decision. The request should be submitted via the online form located at </w:t>
      </w:r>
      <w:hyperlink r:id="rId5" w:history="1">
        <w:r w:rsidRPr="0074067E">
          <w:rPr>
            <w:rStyle w:val="Hyperlink"/>
            <w:rFonts w:ascii="ITC Stone Sans" w:hAnsi="ITC Stone Sans"/>
            <w:sz w:val="20"/>
            <w:szCs w:val="20"/>
          </w:rPr>
          <w:t>https://provost.wayne.edy/academic-policy</w:t>
        </w:r>
      </w:hyperlink>
      <w:r>
        <w:rPr>
          <w:rFonts w:ascii="ITC Stone Sans" w:hAnsi="ITC Stone Sans"/>
          <w:sz w:val="20"/>
          <w:szCs w:val="20"/>
        </w:rPr>
        <w:t xml:space="preserve">. For assistance with the appeal process, you may contact the Ombudsperson Laura </w:t>
      </w:r>
      <w:proofErr w:type="spellStart"/>
      <w:r>
        <w:rPr>
          <w:rFonts w:ascii="ITC Stone Sans" w:hAnsi="ITC Stone Sans"/>
          <w:sz w:val="20"/>
          <w:szCs w:val="20"/>
        </w:rPr>
        <w:t>Birnie-Lindemann</w:t>
      </w:r>
      <w:proofErr w:type="spellEnd"/>
      <w:r>
        <w:rPr>
          <w:rFonts w:ascii="ITC Stone Sans" w:hAnsi="ITC Stone Sans"/>
          <w:sz w:val="20"/>
          <w:szCs w:val="20"/>
        </w:rPr>
        <w:t xml:space="preserve"> at ombudsoffice@wayne.edu.</w:t>
      </w:r>
    </w:p>
    <w:p w:rsidR="00595122" w:rsidRPr="00693929" w:rsidRDefault="00595122" w:rsidP="00595122">
      <w:pPr>
        <w:rPr>
          <w:rFonts w:ascii="ITC Stone Sans" w:hAnsi="ITC Stone Sans"/>
          <w:sz w:val="20"/>
        </w:rPr>
      </w:pPr>
    </w:p>
    <w:p w:rsidR="00595122" w:rsidRPr="00693929" w:rsidRDefault="00595122" w:rsidP="00595122">
      <w:pPr>
        <w:ind w:firstLine="720"/>
        <w:rPr>
          <w:rFonts w:ascii="ITC Stone Sans" w:hAnsi="ITC Stone Sans"/>
          <w:sz w:val="20"/>
        </w:rPr>
      </w:pPr>
      <w:r w:rsidRPr="00693929">
        <w:rPr>
          <w:rFonts w:ascii="ITC Stone Sans" w:hAnsi="ITC Stone Sans"/>
          <w:sz w:val="20"/>
        </w:rPr>
        <w:t>Pursuant to University policy, the Provost's decision in an academic appeal is final.</w:t>
      </w:r>
    </w:p>
    <w:p w:rsidR="00595122" w:rsidRPr="00693929" w:rsidRDefault="00595122" w:rsidP="00595122">
      <w:pPr>
        <w:rPr>
          <w:rFonts w:ascii="ITC Stone Sans" w:hAnsi="ITC Stone Sans"/>
          <w:sz w:val="20"/>
        </w:rPr>
      </w:pPr>
    </w:p>
    <w:p w:rsidR="00E700AE" w:rsidRDefault="00E700AE" w:rsidP="00E700AE">
      <w:pPr>
        <w:ind w:firstLine="720"/>
        <w:rPr>
          <w:rFonts w:ascii="ITC Stone Sans" w:hAnsi="ITC Stone Sans"/>
          <w:sz w:val="20"/>
        </w:rPr>
      </w:pPr>
    </w:p>
    <w:p w:rsidR="00E700AE" w:rsidRDefault="00E700AE" w:rsidP="00E700AE">
      <w:pPr>
        <w:ind w:firstLine="720"/>
        <w:rPr>
          <w:rFonts w:ascii="ITC Stone Sans" w:hAnsi="ITC Stone Sans"/>
          <w:sz w:val="20"/>
        </w:rPr>
      </w:pPr>
    </w:p>
    <w:p w:rsidR="00E700AE" w:rsidRPr="0086638D" w:rsidRDefault="0086638D" w:rsidP="00E700AE">
      <w:pPr>
        <w:rPr>
          <w:rFonts w:ascii="ITC Stone Sans" w:hAnsi="ITC Stone Sans"/>
          <w:i/>
          <w:sz w:val="20"/>
        </w:rPr>
      </w:pPr>
      <w:bookmarkStart w:id="0" w:name="_GoBack"/>
      <w:r w:rsidRPr="0086638D">
        <w:rPr>
          <w:rFonts w:ascii="ITC Stone Sans" w:hAnsi="ITC Stone Sans"/>
          <w:i/>
          <w:sz w:val="20"/>
        </w:rPr>
        <w:t>Approved by Administrative Council on December 12, 2019.</w:t>
      </w:r>
    </w:p>
    <w:bookmarkEnd w:id="0"/>
    <w:p w:rsidR="0070325A" w:rsidRDefault="0086638D"/>
    <w:sectPr w:rsidR="00703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ans">
    <w:altName w:val="Arial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ITC Stone Sans Semibold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6316"/>
    <w:multiLevelType w:val="hybridMultilevel"/>
    <w:tmpl w:val="215E9F62"/>
    <w:lvl w:ilvl="0" w:tplc="10BC5A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AE"/>
    <w:rsid w:val="00575900"/>
    <w:rsid w:val="00595122"/>
    <w:rsid w:val="006A35BC"/>
    <w:rsid w:val="0086638D"/>
    <w:rsid w:val="00B65E74"/>
    <w:rsid w:val="00E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F568"/>
  <w15:chartTrackingRefBased/>
  <w15:docId w15:val="{4258A321-40C8-44D8-9CED-637A2AE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0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00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0A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8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vost.wayne.edy/academic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Nursing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Aaron</dc:creator>
  <cp:keywords/>
  <dc:description/>
  <cp:lastModifiedBy>Kristina Aaron</cp:lastModifiedBy>
  <cp:revision>2</cp:revision>
  <dcterms:created xsi:type="dcterms:W3CDTF">2019-12-16T16:39:00Z</dcterms:created>
  <dcterms:modified xsi:type="dcterms:W3CDTF">2019-12-16T16:39:00Z</dcterms:modified>
</cp:coreProperties>
</file>